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Smlouva o poskytnutí podpory</w:t>
      </w:r>
      <w:r w:rsidDel="00000000" w:rsidR="00000000" w:rsidRPr="00000000">
        <w:rPr>
          <w:rtl w:val="0"/>
        </w:rPr>
      </w:r>
    </w:p>
    <w:p w:rsidR="00000000" w:rsidDel="00000000" w:rsidP="00000000" w:rsidRDefault="00000000" w:rsidRPr="00000000" w14:paraId="00000002">
      <w:pPr>
        <w:tabs>
          <w:tab w:val="left" w:pos="5604"/>
        </w:tabs>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ab/>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D">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0E">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Smlouvu o poskytnutí podpory</w:t>
      </w: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(dále jen „Smlouva“)</w:t>
      </w:r>
    </w:p>
    <w:p w:rsidR="00000000" w:rsidDel="00000000" w:rsidP="00000000" w:rsidRDefault="00000000" w:rsidRPr="00000000" w14:paraId="0000001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color w:val="000000"/>
          <w:rtl w:val="0"/>
        </w:rPr>
        <w:t xml:space="preserve"> 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w:t>
      </w:r>
      <w:r w:rsidDel="00000000" w:rsidR="00000000" w:rsidRPr="00000000">
        <w:rPr>
          <w:rFonts w:ascii="Calibri" w:cs="Calibri" w:eastAsia="Calibri" w:hAnsi="Calibri"/>
          <w:rtl w:val="0"/>
        </w:rPr>
        <w:t xml:space="preserve"> mezinárodní</w:t>
      </w:r>
      <w:r w:rsidDel="00000000" w:rsidR="00000000" w:rsidRPr="00000000">
        <w:rPr>
          <w:rFonts w:ascii="Calibri" w:cs="Calibri" w:eastAsia="Calibri" w:hAnsi="Calibri"/>
          <w:color w:val="000000"/>
          <w:rtl w:val="0"/>
        </w:rPr>
        <w:t xml:space="preserve">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smlouvy</w:t>
      </w:r>
      <w:r w:rsidDel="00000000" w:rsidR="00000000" w:rsidRPr="00000000">
        <w:rPr>
          <w:rtl w:val="0"/>
        </w:rPr>
      </w:r>
    </w:p>
    <w:p w:rsidR="00000000" w:rsidDel="00000000" w:rsidP="00000000" w:rsidRDefault="00000000" w:rsidRPr="00000000" w14:paraId="0000001D">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1E">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1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1">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2">
      <w:pPr>
        <w:numPr>
          <w:ilvl w:val="0"/>
          <w:numId w:val="1"/>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3">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30j0zll" w:id="1"/>
    <w:bookmarkEnd w:id="1"/>
    <w:p w:rsidR="00000000" w:rsidDel="00000000" w:rsidP="00000000" w:rsidRDefault="00000000" w:rsidRPr="00000000" w14:paraId="0000002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5">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6">
      <w:pPr>
        <w:numPr>
          <w:ilvl w:val="0"/>
          <w:numId w:val="5"/>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w:t>
      </w:r>
      <w:r w:rsidDel="00000000" w:rsidR="00000000" w:rsidRPr="00000000">
        <w:rPr>
          <w:rFonts w:ascii="Calibri" w:cs="Calibri" w:eastAsia="Calibri" w:hAnsi="Calibri"/>
          <w:color w:val="000000"/>
          <w:rtl w:val="0"/>
        </w:rPr>
        <w:t xml:space="preserve">schváleným návrhem </w:t>
      </w:r>
      <w:r w:rsidDel="00000000" w:rsidR="00000000" w:rsidRPr="00000000">
        <w:rPr>
          <w:rFonts w:ascii="Calibri" w:cs="Calibri" w:eastAsia="Calibri" w:hAnsi="Calibri"/>
          <w:rtl w:val="0"/>
        </w:rPr>
        <w:t xml:space="preserve">projektu ve smyslu § 9 odst. 2 zákona č. 130/2002 Sb., o podpoře výzkumu, experimentálního vývoje a inovací z veřejných prostředků, a obsahují označení hlavního příjemce a dalších účastníků, název, jméno, příjmení a případné akademické tituly a vědecké hodnosti řešitele, termín zahájení a ukončení řešení projektu, cíle projektu, deklarované výsledky projektu. Závazné parametry řešení projektu rovněž obsahují tabulku uznaných nákladů projektu, která obsahuje jejich rozdělení na jednotlivé roky řešení projektu, intenzitu podpory z uznaných nákladů a s tím související celková výše poskytované účelové podpory, včetně jejího rozdělení mezi hlavního příjemce a další účastníky projektu a další závazné parametry projektu, pokud jsou uvedeny. </w:t>
      </w:r>
      <w:r w:rsidDel="00000000" w:rsidR="00000000" w:rsidRPr="00000000">
        <w:rPr>
          <w:rtl w:val="0"/>
        </w:rPr>
      </w:r>
    </w:p>
    <w:p w:rsidR="00000000" w:rsidDel="00000000" w:rsidP="00000000" w:rsidRDefault="00000000" w:rsidRPr="00000000" w14:paraId="00000027">
      <w:pPr>
        <w:numPr>
          <w:ilvl w:val="0"/>
          <w:numId w:val="5"/>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8">
      <w:pPr>
        <w:numPr>
          <w:ilvl w:val="0"/>
          <w:numId w:val="5"/>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p w:rsidR="00000000" w:rsidDel="00000000" w:rsidP="00000000" w:rsidRDefault="00000000" w:rsidRPr="00000000" w14:paraId="00000029">
      <w:pPr>
        <w:rPr>
          <w:rFonts w:ascii="Calibri" w:cs="Calibri" w:eastAsia="Calibri" w:hAnsi="Calibri"/>
        </w:rPr>
      </w:pPr>
      <w:r w:rsidDel="00000000" w:rsidR="00000000" w:rsidRPr="00000000">
        <w:br w:type="page"/>
      </w:r>
      <w:r w:rsidDel="00000000" w:rsidR="00000000" w:rsidRPr="00000000">
        <w:rPr>
          <w:rtl w:val="0"/>
        </w:rPr>
      </w:r>
    </w:p>
    <w:bookmarkStart w:colFirst="0" w:colLast="0" w:name="bookmark=id.1fob9te" w:id="2"/>
    <w:bookmarkEnd w:id="2"/>
    <w:p w:rsidR="00000000" w:rsidDel="00000000" w:rsidP="00000000" w:rsidRDefault="00000000" w:rsidRPr="00000000" w14:paraId="0000002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3znysh7" w:id="3"/>
    <w:bookmarkEnd w:id="3"/>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C">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2D">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2E">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2F">
      <w:pPr>
        <w:numPr>
          <w:ilvl w:val="0"/>
          <w:numId w:val="4"/>
        </w:numPr>
        <w:spacing w:after="120" w:lineRule="auto"/>
        <w:ind w:left="425" w:hanging="283"/>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 </w:t>
      </w:r>
    </w:p>
    <w:p w:rsidR="00000000" w:rsidDel="00000000" w:rsidP="00000000" w:rsidRDefault="00000000" w:rsidRPr="00000000" w14:paraId="00000030">
      <w:pPr>
        <w:spacing w:after="120" w:before="0" w:lineRule="auto"/>
        <w:ind w:left="850"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1">
      <w:pPr>
        <w:ind w:left="850"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2">
      <w:pPr>
        <w:ind w:left="85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"Subcontracted partner" je pojem, který se vyskytuje v mezinárodním projektu. Jedná se o dodavatele služeb výzkumné povahy, který v případě, že je financován v rámci rozpočtu řešitele podporovaného TA ČR, podléhá pravidlům TA ČR pro subdodávky.</w:t>
      </w:r>
    </w:p>
    <w:p w:rsidR="00000000" w:rsidDel="00000000" w:rsidP="00000000" w:rsidRDefault="00000000" w:rsidRPr="00000000" w14:paraId="00000033">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odst. 2 písm. c) a d). Konsorciální smlouva musí být v anglickém jazyce.</w:t>
      </w:r>
    </w:p>
    <w:p w:rsidR="00000000" w:rsidDel="00000000" w:rsidP="00000000" w:rsidRDefault="00000000" w:rsidRPr="00000000" w14:paraId="00000034">
      <w:pPr>
        <w:numPr>
          <w:ilvl w:val="0"/>
          <w:numId w:val="4"/>
        </w:numPr>
        <w:spacing w:after="120" w:lineRule="auto"/>
        <w:ind w:left="360" w:right="-180" w:hanging="218"/>
      </w:pPr>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5">
      <w:pPr>
        <w:spacing w:after="12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1"/>
        <w:keepLines w:val="1"/>
        <w:numPr>
          <w:ilvl w:val="0"/>
          <w:numId w:val="4"/>
        </w:numPr>
        <w:pBdr>
          <w:top w:space="0" w:sz="0" w:val="nil"/>
          <w:left w:space="0" w:sz="0" w:val="nil"/>
          <w:bottom w:space="0" w:sz="0" w:val="nil"/>
          <w:right w:space="0" w:sz="0" w:val="nil"/>
          <w:between w:space="0" w:sz="0" w:val="nil"/>
        </w:pBdr>
        <w:ind w:left="426" w:hanging="284"/>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8">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76" w:lineRule="auto"/>
        <w:ind w:left="851" w:right="566" w:hanging="283"/>
        <w:jc w:val="both"/>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425" w:right="0" w:hanging="283"/>
        <w:jc w:val="both"/>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ind w:left="851" w:right="566" w:hanging="283"/>
        <w:rPr>
          <w:rFonts w:ascii="Calibri" w:cs="Calibri" w:eastAsia="Calibri" w:hAnsi="Calibri"/>
        </w:rPr>
      </w:pPr>
      <w:r w:rsidDel="00000000" w:rsidR="00000000" w:rsidRPr="00000000">
        <w:rPr>
          <w:rFonts w:ascii="Calibri" w:cs="Calibri" w:eastAsia="Calibri" w:hAnsi="Calibri"/>
          <w:rtl w:val="0"/>
        </w:rPr>
        <w:t xml:space="preserve">„12. Za uznaný náklad se nepovažuje plnění poskytnuté mezi hlavním příjemcem či dalšími účastníky a zahraničním partnerem projektu - </w:t>
      </w:r>
      <w:r w:rsidDel="00000000" w:rsidR="00000000" w:rsidRPr="00000000">
        <w:rPr>
          <w:rFonts w:ascii="Calibri" w:cs="Calibri" w:eastAsia="Calibri" w:hAnsi="Calibri"/>
          <w:color w:val="ff0000"/>
          <w:rtl w:val="0"/>
        </w:rPr>
        <w:t xml:space="preserve">výjimku tvoří tzv. subcontracted partner.</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numPr>
          <w:ilvl w:val="0"/>
          <w:numId w:val="4"/>
        </w:numPr>
        <w:ind w:left="425" w:hanging="283"/>
        <w:rPr>
          <w:rFonts w:ascii="Calibri" w:cs="Calibri" w:eastAsia="Calibri" w:hAnsi="Calibri"/>
        </w:rPr>
      </w:pPr>
      <w:r w:rsidDel="00000000" w:rsidR="00000000" w:rsidRPr="00000000">
        <w:rPr>
          <w:rFonts w:ascii="Calibri" w:cs="Calibri" w:eastAsia="Calibri" w:hAnsi="Calibri"/>
          <w:rtl w:val="0"/>
        </w:rPr>
        <w:t xml:space="preserve"> Poskytovatel se zavazuje poskytnout podporu v každém roce řešení ve výši uvedené v Závazných  parametrech řešení projektu</w:t>
      </w:r>
    </w:p>
    <w:p w:rsidR="00000000" w:rsidDel="00000000" w:rsidP="00000000" w:rsidRDefault="00000000" w:rsidRPr="00000000" w14:paraId="0000003D">
      <w:pPr>
        <w:numPr>
          <w:ilvl w:val="1"/>
          <w:numId w:val="4"/>
        </w:numPr>
        <w:ind w:left="851" w:right="566"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E">
      <w:pPr>
        <w:numPr>
          <w:ilvl w:val="1"/>
          <w:numId w:val="4"/>
        </w:numPr>
        <w:ind w:left="851" w:right="566"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42">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43">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44">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45">
      <w:pPr>
        <w:numPr>
          <w:ilvl w:val="0"/>
          <w:numId w:val="3"/>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46">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47">
      <w:pPr>
        <w:tabs>
          <w:tab w:val="left"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9">
      <w:pPr>
        <w:tabs>
          <w:tab w:val="left"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C">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4D">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E">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4F">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0">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2et92p0" w:id="4"/>
          <w:bookmarkEnd w:id="4"/>
          <w:p w:rsidR="00000000" w:rsidDel="00000000" w:rsidP="00000000" w:rsidRDefault="00000000" w:rsidRPr="00000000" w14:paraId="00000051">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52">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4">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55">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6">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57">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8">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9">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w:t>
    </w:r>
    <w:r w:rsidDel="00000000" w:rsidR="00000000" w:rsidRPr="00000000">
      <w:rPr>
        <w:rFonts w:ascii="Calibri" w:cs="Calibri" w:eastAsia="Calibri" w:hAnsi="Calibri"/>
        <w:sz w:val="16"/>
        <w:szCs w:val="16"/>
        <w:rtl w:val="0"/>
      </w:rPr>
      <w:t xml:space="preserve">3</w:t>
    </w:r>
    <w:r w:rsidDel="00000000" w:rsidR="00000000" w:rsidRPr="00000000">
      <w:rPr>
        <w:rFonts w:ascii="Calibri" w:cs="Calibri" w:eastAsia="Calibri" w:hAnsi="Calibri"/>
        <w:color w:val="000000"/>
        <w:sz w:val="16"/>
        <w:szCs w:val="16"/>
        <w:rtl w:val="0"/>
      </w:rPr>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pos="4536"/>
        <w:tab w:val="right" w:pos="9072"/>
      </w:tabs>
      <w:spacing w:before="1134" w:line="240" w:lineRule="auto"/>
      <w:jc w:val="right"/>
      <w:rPr>
        <w:rFonts w:ascii="Calibri" w:cs="Calibri" w:eastAsia="Calibri" w:hAnsi="Calibri"/>
        <w:b w:val="1"/>
        <w:sz w:val="16"/>
        <w:szCs w:val="16"/>
      </w:rPr>
    </w:pPr>
    <w:r w:rsidDel="00000000" w:rsidR="00000000" w:rsidRPr="00000000">
      <w:rPr>
        <w:b w:val="1"/>
        <w:sz w:val="16"/>
        <w:szCs w:val="16"/>
      </w:rPr>
      <w:drawing>
        <wp:anchor allowOverlap="1" behindDoc="0" distB="0" distT="0" distL="114300" distR="114300" hidden="0" layoutInCell="1" locked="0" relativeHeight="0" simplePos="0">
          <wp:simplePos x="0" y="0"/>
          <wp:positionH relativeFrom="margin">
            <wp:posOffset>-727707</wp:posOffset>
          </wp:positionH>
          <wp:positionV relativeFrom="page">
            <wp:posOffset>7620</wp:posOffset>
          </wp:positionV>
          <wp:extent cx="1439545" cy="1439545"/>
          <wp:effectExtent b="0" l="0" r="0" t="0"/>
          <wp:wrapNone/>
          <wp:docPr id="3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5C">
    <w:pPr>
      <w:tabs>
        <w:tab w:val="center" w:pos="4536"/>
        <w:tab w:val="right" w:pos="9072"/>
      </w:tabs>
      <w:spacing w:before="0"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218"/>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contextualSpacing w:val="1"/>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contextualSpacing w:val="1"/>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contextualSpacing w:val="1"/>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contextualSpacing w:val="1"/>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contextualSpacing w:val="1"/>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contextualSpacing w:val="1"/>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27659D"/>
    <w:pPr>
      <w:spacing w:before="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7659D"/>
    <w:rPr>
      <w:rFonts w:ascii="Tahoma" w:cs="Tahoma" w:hAnsi="Tahoma"/>
      <w:sz w:val="16"/>
      <w:szCs w:val="16"/>
    </w:rPr>
  </w:style>
  <w:style w:type="paragraph" w:styleId="Zhlav">
    <w:name w:val="header"/>
    <w:basedOn w:val="Normln"/>
    <w:link w:val="ZhlavChar"/>
    <w:uiPriority w:val="99"/>
    <w:unhideWhenUsed w:val="1"/>
    <w:rsid w:val="0027659D"/>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27659D"/>
  </w:style>
  <w:style w:type="paragraph" w:styleId="Zpat">
    <w:name w:val="footer"/>
    <w:basedOn w:val="Normln"/>
    <w:link w:val="ZpatChar"/>
    <w:uiPriority w:val="99"/>
    <w:unhideWhenUsed w:val="1"/>
    <w:rsid w:val="0027659D"/>
    <w:pPr>
      <w:tabs>
        <w:tab w:val="center" w:pos="4536"/>
        <w:tab w:val="right" w:pos="9072"/>
      </w:tabs>
      <w:spacing w:before="0" w:line="240" w:lineRule="auto"/>
    </w:pPr>
  </w:style>
  <w:style w:type="character" w:styleId="ZpatChar" w:customStyle="1">
    <w:name w:val="Zápatí Char"/>
    <w:basedOn w:val="Standardnpsmoodstavce"/>
    <w:link w:val="Zpat"/>
    <w:uiPriority w:val="99"/>
    <w:rsid w:val="0027659D"/>
  </w:style>
  <w:style w:type="character" w:styleId="apple-converted-space" w:customStyle="1">
    <w:name w:val="apple-converted-space"/>
    <w:basedOn w:val="Standardnpsmoodstavce"/>
    <w:rsid w:val="00DB3D7E"/>
  </w:style>
  <w:style w:type="paragraph" w:styleId="Zpat1" w:customStyle="1">
    <w:name w:val="Zápatí1"/>
    <w:basedOn w:val="Zpat"/>
    <w:qFormat w:val="1"/>
    <w:rsid w:val="00FD3B06"/>
    <w:pPr>
      <w:autoSpaceDE w:val="0"/>
      <w:autoSpaceDN w:val="0"/>
      <w:adjustRightInd w:val="0"/>
      <w:jc w:val="right"/>
      <w:textAlignment w:val="center"/>
    </w:pPr>
    <w:rPr>
      <w:rFonts w:eastAsiaTheme="minorHAnsi"/>
      <w:noProof w:val="1"/>
      <w:sz w:val="16"/>
    </w:r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nEHJKLKGJXNClCiZcmyn3PZwA==">AMUW2mXrBU1OHQLTsdbzgSSpELxKG77B+ZFU0qo661RbrzxMXJUbmBsFqj/flPyq6TRLIP/rsF5xWnHA5QuohpsLuYgZMoEhR2/NDTMHRQwetgapoZUL2ddpLRb2EJQDwyKrnK6mC3w5V8OmNWJB6lp8uZ/wKCBucF+YEe7furVJMInU/W3NR4iLeUfieIxhm1MOMa7fFDcj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2019-12-15T15:06:00Z</dcterms:created>
  <dc:creator>Michaela Kaňová</dc:creator>
</cp:coreProperties>
</file>